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E5" w:rsidRDefault="00313F3C">
      <w:pPr>
        <w:pStyle w:val="Ttulo"/>
      </w:pPr>
      <w:proofErr w:type="spellStart"/>
      <w:r>
        <w:t>ToxEcotox</w:t>
      </w:r>
      <w:proofErr w:type="spellEnd"/>
    </w:p>
    <w:p w:rsidR="005B04E5" w:rsidRDefault="00313F3C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2017</w:t>
      </w:r>
    </w:p>
    <w:p w:rsidR="005B04E5" w:rsidRDefault="005B04E5">
      <w:pPr>
        <w:rPr>
          <w:rFonts w:ascii="Arial" w:hAnsi="Arial" w:cs="Arial"/>
          <w:sz w:val="48"/>
          <w:szCs w:val="48"/>
        </w:rPr>
      </w:pPr>
    </w:p>
    <w:p w:rsidR="005B04E5" w:rsidRDefault="00313F3C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Jornadas Científicas de Toxicología Ambiental y Ecotoxicología</w:t>
      </w:r>
    </w:p>
    <w:p w:rsidR="005B04E5" w:rsidRDefault="005B04E5">
      <w:pPr>
        <w:rPr>
          <w:rFonts w:ascii="Arial" w:hAnsi="Arial" w:cs="Arial"/>
        </w:rPr>
      </w:pPr>
    </w:p>
    <w:p w:rsidR="005B04E5" w:rsidRDefault="00313F3C">
      <w:pPr>
        <w:rPr>
          <w:rFonts w:ascii="Arial" w:hAnsi="Arial" w:cs="Arial"/>
        </w:rPr>
      </w:pPr>
      <w:r>
        <w:rPr>
          <w:rFonts w:ascii="Arial" w:hAnsi="Arial" w:cs="Arial"/>
        </w:rPr>
        <w:t>26 y 27 de enero de 2017</w:t>
      </w:r>
    </w:p>
    <w:p w:rsidR="005B04E5" w:rsidRDefault="005B04E5">
      <w:pPr>
        <w:rPr>
          <w:rFonts w:ascii="Arial" w:hAnsi="Arial" w:cs="Arial"/>
        </w:rPr>
      </w:pPr>
    </w:p>
    <w:p w:rsidR="005B04E5" w:rsidRDefault="00313F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Salón de Actos </w:t>
      </w:r>
    </w:p>
    <w:p w:rsidR="005B04E5" w:rsidRDefault="00313F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Instituto de Ciencias Agrarias </w:t>
      </w:r>
    </w:p>
    <w:p w:rsidR="005B04E5" w:rsidRDefault="00313F3C">
      <w:pPr>
        <w:rPr>
          <w:rFonts w:ascii="Arial" w:hAnsi="Arial" w:cs="Arial"/>
        </w:rPr>
      </w:pPr>
      <w:r>
        <w:rPr>
          <w:rFonts w:ascii="Arial" w:hAnsi="Arial" w:cs="Arial"/>
        </w:rPr>
        <w:t>CSIC</w:t>
      </w:r>
    </w:p>
    <w:p w:rsidR="005B04E5" w:rsidRDefault="005B04E5">
      <w:pPr>
        <w:rPr>
          <w:rFonts w:ascii="Arial" w:hAnsi="Arial" w:cs="Arial"/>
        </w:rPr>
      </w:pPr>
    </w:p>
    <w:p w:rsidR="005B04E5" w:rsidRDefault="00313F3C">
      <w:pPr>
        <w:rPr>
          <w:rFonts w:ascii="Arial" w:hAnsi="Arial" w:cs="Arial"/>
        </w:rPr>
      </w:pPr>
      <w:r>
        <w:rPr>
          <w:rFonts w:ascii="Arial" w:hAnsi="Arial" w:cs="Arial"/>
        </w:rPr>
        <w:t>Serrano 115, Madrid</w:t>
      </w:r>
    </w:p>
    <w:p w:rsidR="005B04E5" w:rsidRDefault="005B04E5">
      <w:pPr>
        <w:rPr>
          <w:rFonts w:ascii="Arial" w:hAnsi="Arial" w:cs="Arial"/>
        </w:rPr>
      </w:pPr>
    </w:p>
    <w:p w:rsidR="005B04E5" w:rsidRDefault="00313F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Localización detallada:</w:t>
      </w:r>
    </w:p>
    <w:p w:rsidR="005B04E5" w:rsidRDefault="00313F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https://www.ica.csic.es/index.php/el-ica/localizacion</w:t>
      </w:r>
    </w:p>
    <w:p w:rsidR="005B04E5" w:rsidRDefault="005B04E5">
      <w:pPr>
        <w:jc w:val="both"/>
        <w:rPr>
          <w:rFonts w:ascii="Arial" w:hAnsi="Arial" w:cs="Arial"/>
          <w:sz w:val="22"/>
          <w:szCs w:val="22"/>
        </w:rPr>
      </w:pPr>
    </w:p>
    <w:p w:rsidR="005B04E5" w:rsidRDefault="00313F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Como continuación a nuestro primer encuentro del mes de mayo pasado, organizamos estas J</w:t>
      </w:r>
      <w:r>
        <w:rPr>
          <w:rFonts w:ascii="Arial" w:hAnsi="Arial" w:cs="Arial"/>
          <w:i/>
          <w:sz w:val="22"/>
          <w:szCs w:val="22"/>
        </w:rPr>
        <w:t>ornadas Científicas</w:t>
      </w:r>
      <w:r>
        <w:rPr>
          <w:rFonts w:ascii="Arial" w:hAnsi="Arial" w:cs="Arial"/>
          <w:sz w:val="22"/>
          <w:szCs w:val="22"/>
        </w:rPr>
        <w:t xml:space="preserve"> con el propósito de poner en común nuestros resultados de investigación en el formato habitua</w:t>
      </w:r>
      <w:r>
        <w:rPr>
          <w:rFonts w:ascii="Arial" w:hAnsi="Arial" w:cs="Arial"/>
          <w:sz w:val="22"/>
          <w:szCs w:val="22"/>
        </w:rPr>
        <w:t xml:space="preserve">l de ponencias breves. Las sesiones se distribuirán en bloques de acuerdo con su temática en los apartados que, sin constituir una relación exhaustiva, se indican a continuación: </w:t>
      </w:r>
    </w:p>
    <w:p w:rsidR="005B04E5" w:rsidRDefault="005B04E5">
      <w:pPr>
        <w:jc w:val="both"/>
        <w:rPr>
          <w:rFonts w:ascii="Arial" w:hAnsi="Arial" w:cs="Arial"/>
          <w:sz w:val="22"/>
          <w:szCs w:val="22"/>
        </w:rPr>
      </w:pPr>
    </w:p>
    <w:p w:rsidR="005B04E5" w:rsidRDefault="00313F3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Toxicidad, distribución y transporte de contaminantes prioritarios y emerge</w:t>
      </w:r>
      <w:r>
        <w:rPr>
          <w:rFonts w:ascii="Arial" w:hAnsi="Arial" w:cs="Arial"/>
          <w:i/>
          <w:sz w:val="22"/>
          <w:szCs w:val="22"/>
        </w:rPr>
        <w:t>ntes</w:t>
      </w:r>
    </w:p>
    <w:p w:rsidR="005B04E5" w:rsidRDefault="005B04E5">
      <w:pPr>
        <w:rPr>
          <w:rFonts w:ascii="Arial" w:hAnsi="Arial" w:cs="Arial"/>
          <w:i/>
          <w:sz w:val="20"/>
          <w:szCs w:val="20"/>
        </w:rPr>
      </w:pPr>
    </w:p>
    <w:p w:rsidR="005B04E5" w:rsidRDefault="00313F3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Ecotoxicología terrestre y acuática. </w:t>
      </w:r>
    </w:p>
    <w:p w:rsidR="005B04E5" w:rsidRDefault="005B04E5">
      <w:pPr>
        <w:rPr>
          <w:rFonts w:ascii="Arial" w:hAnsi="Arial" w:cs="Arial"/>
          <w:i/>
          <w:sz w:val="20"/>
          <w:szCs w:val="20"/>
        </w:rPr>
      </w:pPr>
    </w:p>
    <w:p w:rsidR="005B04E5" w:rsidRDefault="00313F3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Comunidades biológicas.</w:t>
      </w:r>
    </w:p>
    <w:p w:rsidR="005B04E5" w:rsidRDefault="005B04E5">
      <w:pPr>
        <w:rPr>
          <w:rFonts w:ascii="Arial" w:hAnsi="Arial" w:cs="Arial"/>
          <w:i/>
          <w:sz w:val="20"/>
          <w:szCs w:val="20"/>
        </w:rPr>
      </w:pPr>
    </w:p>
    <w:p w:rsidR="005B04E5" w:rsidRDefault="00313F3C">
      <w:pPr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Biomarcadores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y bioensayos, incluyendo uso de </w:t>
      </w:r>
      <w:proofErr w:type="spellStart"/>
      <w:r>
        <w:rPr>
          <w:rFonts w:ascii="Arial" w:hAnsi="Arial" w:cs="Arial"/>
          <w:i/>
          <w:sz w:val="22"/>
          <w:szCs w:val="22"/>
        </w:rPr>
        <w:t>OMICs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en toxicología ambiental </w:t>
      </w:r>
    </w:p>
    <w:p w:rsidR="005B04E5" w:rsidRDefault="005B04E5">
      <w:pPr>
        <w:rPr>
          <w:rFonts w:ascii="Arial" w:hAnsi="Arial" w:cs="Arial"/>
          <w:i/>
          <w:sz w:val="20"/>
          <w:szCs w:val="20"/>
        </w:rPr>
      </w:pPr>
    </w:p>
    <w:p w:rsidR="005B04E5" w:rsidRDefault="00313F3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Interacciones entre los contaminantes y los factores de estrés naturales</w:t>
      </w:r>
    </w:p>
    <w:p w:rsidR="005B04E5" w:rsidRDefault="005B04E5">
      <w:pPr>
        <w:rPr>
          <w:rFonts w:ascii="Arial" w:hAnsi="Arial" w:cs="Arial"/>
          <w:i/>
          <w:sz w:val="20"/>
          <w:szCs w:val="20"/>
        </w:rPr>
      </w:pPr>
    </w:p>
    <w:p w:rsidR="005B04E5" w:rsidRDefault="00313F3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Riesgo ambiental, sostenibilidad y ciclo de vida </w:t>
      </w:r>
    </w:p>
    <w:p w:rsidR="005B04E5" w:rsidRDefault="005B04E5">
      <w:pPr>
        <w:jc w:val="both"/>
        <w:rPr>
          <w:rFonts w:ascii="Arial" w:hAnsi="Arial" w:cs="Arial"/>
          <w:strike/>
          <w:sz w:val="22"/>
          <w:szCs w:val="22"/>
        </w:rPr>
      </w:pPr>
    </w:p>
    <w:p w:rsidR="005B04E5" w:rsidRDefault="00313F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ámbito de las Jornadas es estatal, estando abierta la participación a todos los grupos de España, tanto si les ha llegado esta invitación de materia directa como indirecta. Para participar en las Jornad</w:t>
      </w:r>
      <w:r>
        <w:rPr>
          <w:rFonts w:ascii="Arial" w:hAnsi="Arial" w:cs="Arial"/>
          <w:sz w:val="22"/>
          <w:szCs w:val="22"/>
        </w:rPr>
        <w:t>as basta que nos enviéis un resumen en una página (se acompaña plantilla).</w:t>
      </w:r>
    </w:p>
    <w:p w:rsidR="005B04E5" w:rsidRDefault="00313F3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Fechas:</w:t>
      </w:r>
    </w:p>
    <w:p w:rsidR="005B04E5" w:rsidRDefault="00313F3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Envío de resúmenes: 28 de noviembre</w:t>
      </w:r>
    </w:p>
    <w:p w:rsidR="005B04E5" w:rsidRDefault="00313F3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Plazo ampliado: 13 de diciembre</w:t>
      </w:r>
    </w:p>
    <w:p w:rsidR="005B04E5" w:rsidRDefault="00313F3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Inscripción (gratuita): 20 de diciembre</w:t>
      </w:r>
    </w:p>
    <w:p w:rsidR="005B04E5" w:rsidRDefault="00313F3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Jornadas: 25 y 26 de enero (de 2017)</w:t>
      </w:r>
    </w:p>
    <w:p w:rsidR="005B04E5" w:rsidRDefault="00313F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 hay cuota de inscripción</w:t>
      </w:r>
      <w:r>
        <w:rPr>
          <w:rFonts w:ascii="Arial" w:hAnsi="Arial" w:cs="Arial"/>
          <w:sz w:val="22"/>
          <w:szCs w:val="22"/>
        </w:rPr>
        <w:t>, pero necesitamos confirmar asistencia para cerrar el programa y por razones logísticas.)</w:t>
      </w:r>
    </w:p>
    <w:p w:rsidR="005B04E5" w:rsidRDefault="005B04E5">
      <w:pPr>
        <w:jc w:val="both"/>
        <w:rPr>
          <w:rFonts w:ascii="Arial" w:hAnsi="Arial" w:cs="Arial"/>
          <w:sz w:val="20"/>
          <w:szCs w:val="20"/>
        </w:rPr>
      </w:pPr>
    </w:p>
    <w:p w:rsidR="005B04E5" w:rsidRDefault="005B04E5">
      <w:pPr>
        <w:jc w:val="both"/>
        <w:rPr>
          <w:rFonts w:ascii="Arial" w:hAnsi="Arial" w:cs="Arial"/>
          <w:sz w:val="20"/>
          <w:szCs w:val="20"/>
        </w:rPr>
      </w:pPr>
    </w:p>
    <w:p w:rsidR="005B04E5" w:rsidRDefault="00313F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María José González (Universidad de Alcalá)</w:t>
      </w:r>
    </w:p>
    <w:p w:rsidR="005B04E5" w:rsidRDefault="00313F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Roberto Rosal (Universidad de Alcalá)</w:t>
      </w:r>
    </w:p>
    <w:p w:rsidR="005B04E5" w:rsidRDefault="00313F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Francisca Fernández-Piñas (Universidad Autónoma de Madrid)</w:t>
      </w:r>
    </w:p>
    <w:p w:rsidR="005B04E5" w:rsidRDefault="00313F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Eduardo de la Peña (In</w:t>
      </w:r>
      <w:r>
        <w:rPr>
          <w:rFonts w:ascii="Arial" w:hAnsi="Arial" w:cs="Arial"/>
          <w:sz w:val="20"/>
          <w:szCs w:val="20"/>
        </w:rPr>
        <w:t>stituto de Ciencias Agrarias, CSIC)</w:t>
      </w:r>
    </w:p>
    <w:p w:rsidR="005B04E5" w:rsidRDefault="005B04E5">
      <w:pPr>
        <w:jc w:val="both"/>
        <w:rPr>
          <w:rFonts w:ascii="Arial" w:hAnsi="Arial" w:cs="Arial"/>
        </w:rPr>
      </w:pPr>
    </w:p>
    <w:p w:rsidR="005B04E5" w:rsidRDefault="00313F3C">
      <w:pPr>
        <w:rPr>
          <w:noProof/>
        </w:rPr>
      </w:pP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1300474" cy="41406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93 (positivo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02" cy="41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>
            <wp:extent cx="701841" cy="495209"/>
            <wp:effectExtent l="0" t="0" r="3175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00" cy="49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4E5" w:rsidRDefault="005B04E5">
      <w:pPr>
        <w:rPr>
          <w:noProof/>
        </w:rPr>
      </w:pPr>
    </w:p>
    <w:p w:rsidR="005B04E5" w:rsidRDefault="005B04E5">
      <w:pPr>
        <w:rPr>
          <w:noProof/>
        </w:rPr>
      </w:pPr>
    </w:p>
    <w:p w:rsidR="005B04E5" w:rsidRDefault="00313F3C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135380" cy="378550"/>
            <wp:effectExtent l="0" t="0" r="762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5090" cy="38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990600" cy="300243"/>
            <wp:effectExtent l="0" t="0" r="0" b="5080"/>
            <wp:docPr id="4" name="Imagen 4" descr="Resultado de imagen de ica c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ica csi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62" cy="30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4E5" w:rsidRDefault="005B04E5">
      <w:pPr>
        <w:rPr>
          <w:noProof/>
        </w:rPr>
      </w:pPr>
    </w:p>
    <w:p w:rsidR="005B04E5" w:rsidRDefault="005B04E5">
      <w:pPr>
        <w:rPr>
          <w:noProof/>
        </w:rPr>
      </w:pPr>
    </w:p>
    <w:p w:rsidR="005B04E5" w:rsidRDefault="005B04E5">
      <w:pPr>
        <w:jc w:val="center"/>
        <w:rPr>
          <w:b/>
        </w:rPr>
      </w:pPr>
    </w:p>
    <w:p w:rsidR="005B04E5" w:rsidRDefault="00313F3C">
      <w:pPr>
        <w:rPr>
          <w:b/>
        </w:rPr>
      </w:pPr>
      <w:r>
        <w:rPr>
          <w:noProof/>
        </w:rPr>
        <w:drawing>
          <wp:inline distT="0" distB="0" distL="0" distR="0" wp14:anchorId="483F111F" wp14:editId="3680A73B">
            <wp:extent cx="1043940" cy="415300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92" cy="41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4234F001">
            <wp:extent cx="1292357" cy="417421"/>
            <wp:effectExtent l="0" t="0" r="3175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195" cy="417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4E5" w:rsidRDefault="005B04E5"/>
    <w:p w:rsidR="005B04E5" w:rsidRDefault="00313F3C">
      <w:r>
        <w:t xml:space="preserve">e-mail: </w:t>
      </w:r>
      <w:hyperlink r:id="rId11" w:history="1">
        <w:r>
          <w:rPr>
            <w:rStyle w:val="Hipervnculo"/>
          </w:rPr>
          <w:t>mariajose.gonzalez@uah.es</w:t>
        </w:r>
      </w:hyperlink>
      <w:bookmarkStart w:id="0" w:name="_GoBack"/>
      <w:bookmarkEnd w:id="0"/>
    </w:p>
    <w:p w:rsidR="005B04E5" w:rsidRDefault="00313F3C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43815</wp:posOffset>
                </wp:positionV>
                <wp:extent cx="5514975" cy="60579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4E5" w:rsidRDefault="00313F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Titulo </w:t>
                            </w:r>
                          </w:p>
                          <w:p w:rsidR="005B04E5" w:rsidRDefault="00313F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 (es)</w:t>
                            </w:r>
                          </w:p>
                          <w:p w:rsidR="005B04E5" w:rsidRDefault="00313F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Filiación</w:t>
                            </w:r>
                          </w:p>
                          <w:p w:rsidR="005B04E5" w:rsidRDefault="005B04E5"/>
                          <w:p w:rsidR="005B04E5" w:rsidRDefault="00313F3C">
                            <w:r>
                              <w:t>Resumen (máximo  trescientas palabras)</w:t>
                            </w:r>
                          </w:p>
                          <w:p w:rsidR="005B04E5" w:rsidRDefault="005B04E5"/>
                          <w:p w:rsidR="005B04E5" w:rsidRDefault="005B04E5"/>
                          <w:p w:rsidR="005B04E5" w:rsidRDefault="005B04E5"/>
                          <w:p w:rsidR="005B04E5" w:rsidRDefault="005B04E5"/>
                          <w:p w:rsidR="005B04E5" w:rsidRDefault="005B04E5"/>
                          <w:p w:rsidR="005B04E5" w:rsidRDefault="005B04E5"/>
                          <w:p w:rsidR="005B04E5" w:rsidRDefault="005B04E5"/>
                          <w:p w:rsidR="005B04E5" w:rsidRDefault="005B04E5"/>
                          <w:p w:rsidR="005B04E5" w:rsidRDefault="005B04E5"/>
                          <w:p w:rsidR="005B04E5" w:rsidRDefault="005B04E5"/>
                          <w:p w:rsidR="005B04E5" w:rsidRDefault="005B04E5"/>
                          <w:p w:rsidR="005B04E5" w:rsidRDefault="005B04E5"/>
                          <w:p w:rsidR="005B04E5" w:rsidRDefault="005B04E5"/>
                          <w:p w:rsidR="005B04E5" w:rsidRDefault="005B04E5"/>
                          <w:p w:rsidR="005B04E5" w:rsidRDefault="005B04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7.85pt;margin-top:3.45pt;width:434.25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"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Titulo </w:t>
                      </w: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 (es)</w:t>
                      </w: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Filiación</w:t>
                      </w:r>
                    </w:p>
                    <w:p/>
                    <w:p>
                      <w:r>
                        <w:t>Resumen (máximo  trescientas palabras)</w:t>
                      </w:r>
                    </w:p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933700" cy="2933700"/>
            <wp:effectExtent l="0" t="0" r="0" b="0"/>
            <wp:docPr id="9" name="Imagen 9" descr="Resultado de imagen de toxicología ambiental y ecotoxic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toxicología ambiental y ecotoxicologí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4E5" w:rsidRDefault="005B04E5"/>
    <w:p w:rsidR="005B04E5" w:rsidRDefault="005B04E5"/>
    <w:p w:rsidR="005B04E5" w:rsidRDefault="00313F3C">
      <w:r>
        <w:rPr>
          <w:rFonts w:ascii="Arial" w:hAnsi="Arial" w:cs="Arial"/>
          <w:noProof/>
        </w:rPr>
        <w:drawing>
          <wp:inline distT="0" distB="0" distL="0" distR="0">
            <wp:extent cx="1755631" cy="558989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93 (positivo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38" cy="56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810883" cy="574456"/>
            <wp:effectExtent l="0" t="0" r="889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39" cy="57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4E5" w:rsidRDefault="005B04E5"/>
    <w:p w:rsidR="005B04E5" w:rsidRDefault="005B04E5"/>
    <w:p w:rsidR="005B04E5" w:rsidRDefault="00313F3C">
      <w:pPr>
        <w:jc w:val="center"/>
      </w:pPr>
      <w:r>
        <w:rPr>
          <w:noProof/>
        </w:rPr>
        <w:drawing>
          <wp:inline distT="0" distB="0" distL="0" distR="0">
            <wp:extent cx="1134110" cy="377825"/>
            <wp:effectExtent l="0" t="0" r="889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90600" cy="300243"/>
            <wp:effectExtent l="0" t="0" r="0" b="5080"/>
            <wp:docPr id="13" name="Imagen 13" descr="Resultado de imagen de ica c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ica csi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62" cy="30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4E5" w:rsidRDefault="005B04E5"/>
    <w:p w:rsidR="005B04E5" w:rsidRDefault="00313F3C">
      <w:pPr>
        <w:jc w:val="center"/>
      </w:pPr>
      <w:r>
        <w:rPr>
          <w:noProof/>
        </w:rPr>
        <w:drawing>
          <wp:inline distT="0" distB="0" distL="0" distR="0">
            <wp:extent cx="1042670" cy="414655"/>
            <wp:effectExtent l="0" t="0" r="508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04E5">
      <w:pgSz w:w="16838" w:h="11906" w:orient="landscape"/>
      <w:pgMar w:top="1701" w:right="1417" w:bottom="1701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E5"/>
    <w:rsid w:val="00313F3C"/>
    <w:rsid w:val="005B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5B9BD5" w:themeColor="accent1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5B9BD5" w:themeColor="accent1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mariajose.gonzalez@uah.es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 García Roberto</dc:creator>
  <cp:lastModifiedBy>María José</cp:lastModifiedBy>
  <cp:revision>2</cp:revision>
  <dcterms:created xsi:type="dcterms:W3CDTF">2016-12-05T13:54:00Z</dcterms:created>
  <dcterms:modified xsi:type="dcterms:W3CDTF">2016-12-05T13:54:00Z</dcterms:modified>
</cp:coreProperties>
</file>